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E77A2" w14:textId="1E73898E" w:rsidR="00BF202B" w:rsidRPr="00D034C2" w:rsidRDefault="00BF202B" w:rsidP="001A3204">
      <w:pPr>
        <w:pStyle w:val="Textoindependiente"/>
        <w:spacing w:line="360" w:lineRule="auto"/>
        <w:jc w:val="center"/>
        <w:rPr>
          <w:rFonts w:eastAsiaTheme="minorEastAsia"/>
          <w:b/>
          <w:lang w:val="es-ES"/>
        </w:rPr>
      </w:pPr>
      <w:r w:rsidRPr="00D034C2">
        <w:rPr>
          <w:rFonts w:eastAsiaTheme="minorEastAsia"/>
          <w:b/>
          <w:lang w:val="es-ES"/>
        </w:rPr>
        <w:t xml:space="preserve">Escrituras del Raj: el vaivén </w:t>
      </w:r>
      <w:proofErr w:type="spellStart"/>
      <w:r w:rsidRPr="00D034C2">
        <w:rPr>
          <w:rFonts w:eastAsiaTheme="minorEastAsia"/>
          <w:b/>
          <w:lang w:val="es-ES"/>
        </w:rPr>
        <w:t>indológico</w:t>
      </w:r>
      <w:proofErr w:type="spellEnd"/>
      <w:r w:rsidRPr="00D034C2">
        <w:rPr>
          <w:rFonts w:eastAsiaTheme="minorEastAsia"/>
          <w:b/>
          <w:lang w:val="es-ES"/>
        </w:rPr>
        <w:t xml:space="preserve"> entre el romanticismo y el orientalismo </w:t>
      </w:r>
    </w:p>
    <w:p w14:paraId="51EA3390" w14:textId="77777777" w:rsidR="00BF202B" w:rsidRPr="00D034C2" w:rsidRDefault="00BF202B" w:rsidP="001A3204">
      <w:pPr>
        <w:pStyle w:val="Textoindependiente"/>
        <w:spacing w:line="360" w:lineRule="auto"/>
        <w:jc w:val="center"/>
        <w:rPr>
          <w:i/>
          <w:iCs/>
          <w:lang w:val="en-US"/>
        </w:rPr>
      </w:pPr>
      <w:r w:rsidRPr="00D034C2">
        <w:rPr>
          <w:i/>
          <w:iCs/>
          <w:lang w:val="en-US"/>
        </w:rPr>
        <w:t>Adrián Muñoz</w:t>
      </w:r>
    </w:p>
    <w:p w14:paraId="5637EAB1" w14:textId="3A337A31" w:rsidR="00BF202B" w:rsidRPr="00D034C2" w:rsidRDefault="00BF202B" w:rsidP="001A3204">
      <w:pPr>
        <w:spacing w:line="360" w:lineRule="auto"/>
        <w:rPr>
          <w:rFonts w:ascii="Times New Roman" w:hAnsi="Times New Roman" w:cs="Times New Roman"/>
          <w:sz w:val="24"/>
          <w:szCs w:val="24"/>
          <w:lang w:val="en-US"/>
        </w:rPr>
      </w:pPr>
    </w:p>
    <w:p w14:paraId="63E3873C" w14:textId="70182AAC" w:rsidR="00BF202B" w:rsidRPr="00D034C2" w:rsidRDefault="00BF202B" w:rsidP="001A3204">
      <w:pPr>
        <w:spacing w:line="360" w:lineRule="auto"/>
        <w:jc w:val="center"/>
        <w:rPr>
          <w:rFonts w:ascii="Times New Roman" w:hAnsi="Times New Roman" w:cs="Times New Roman"/>
          <w:sz w:val="24"/>
          <w:szCs w:val="24"/>
          <w:lang w:val="en-US"/>
        </w:rPr>
      </w:pPr>
      <w:r w:rsidRPr="00D034C2">
        <w:rPr>
          <w:rFonts w:ascii="Times New Roman" w:hAnsi="Times New Roman" w:cs="Times New Roman"/>
          <w:sz w:val="24"/>
          <w:szCs w:val="24"/>
          <w:lang w:val="en-US"/>
        </w:rPr>
        <w:t>ANEXO</w:t>
      </w:r>
    </w:p>
    <w:p w14:paraId="6A2A022A" w14:textId="1EA9CCF5" w:rsidR="00BF202B" w:rsidRPr="00D034C2" w:rsidRDefault="00BF202B" w:rsidP="001A3204">
      <w:pPr>
        <w:spacing w:line="360" w:lineRule="auto"/>
        <w:rPr>
          <w:rFonts w:ascii="Times New Roman" w:hAnsi="Times New Roman" w:cs="Times New Roman"/>
          <w:sz w:val="24"/>
          <w:szCs w:val="24"/>
          <w:lang w:val="en-US"/>
        </w:rPr>
      </w:pPr>
    </w:p>
    <w:p w14:paraId="751DA9F5" w14:textId="28C8E47C" w:rsidR="00E9637A" w:rsidRPr="00D034C2" w:rsidRDefault="00D034C2" w:rsidP="001A3204">
      <w:pPr>
        <w:pStyle w:val="Textoindependiente"/>
        <w:spacing w:line="360" w:lineRule="auto"/>
        <w:ind w:firstLine="708"/>
        <w:rPr>
          <w:lang w:val="en-US"/>
        </w:rPr>
      </w:pPr>
      <w:r>
        <w:rPr>
          <w:lang w:val="en-US"/>
        </w:rPr>
        <w:t>[</w:t>
      </w:r>
      <w:r w:rsidR="00E9637A" w:rsidRPr="00D034C2">
        <w:rPr>
          <w:lang w:val="en-US"/>
        </w:rPr>
        <w:t>…</w:t>
      </w:r>
      <w:r>
        <w:rPr>
          <w:lang w:val="en-US"/>
        </w:rPr>
        <w:t>]</w:t>
      </w:r>
      <w:r w:rsidR="00E9637A" w:rsidRPr="00D034C2">
        <w:rPr>
          <w:lang w:val="en-US"/>
        </w:rPr>
        <w:t xml:space="preserve"> soon they chose </w:t>
      </w:r>
    </w:p>
    <w:p w14:paraId="0E0E02BC" w14:textId="76BD8168" w:rsidR="00E9637A" w:rsidRPr="00D034C2" w:rsidRDefault="00E9637A" w:rsidP="001A3204">
      <w:pPr>
        <w:pStyle w:val="Textoindependiente"/>
        <w:spacing w:line="360" w:lineRule="auto"/>
        <w:ind w:firstLine="708"/>
        <w:rPr>
          <w:lang w:val="en-US"/>
        </w:rPr>
      </w:pPr>
      <w:r w:rsidRPr="00D034C2">
        <w:rPr>
          <w:lang w:val="en-US"/>
        </w:rPr>
        <w:t xml:space="preserve">The </w:t>
      </w:r>
      <w:r w:rsidR="005A09C7" w:rsidRPr="00D034C2">
        <w:rPr>
          <w:lang w:val="en-US"/>
        </w:rPr>
        <w:t>f</w:t>
      </w:r>
      <w:r w:rsidRPr="00D034C2">
        <w:rPr>
          <w:lang w:val="en-US"/>
        </w:rPr>
        <w:t>ig</w:t>
      </w:r>
      <w:r w:rsidR="005A09C7" w:rsidRPr="00D034C2">
        <w:rPr>
          <w:lang w:val="en-US"/>
        </w:rPr>
        <w:t>-</w:t>
      </w:r>
      <w:r w:rsidRPr="00D034C2">
        <w:rPr>
          <w:lang w:val="en-US"/>
        </w:rPr>
        <w:t>tree</w:t>
      </w:r>
      <w:r w:rsidR="005A09C7" w:rsidRPr="00D034C2">
        <w:rPr>
          <w:lang w:val="en-US"/>
        </w:rPr>
        <w:t>—n</w:t>
      </w:r>
      <w:r w:rsidRPr="00D034C2">
        <w:rPr>
          <w:lang w:val="en-US"/>
        </w:rPr>
        <w:t xml:space="preserve">ot that kind for </w:t>
      </w:r>
      <w:r w:rsidR="005A09C7" w:rsidRPr="00D034C2">
        <w:rPr>
          <w:lang w:val="en-US"/>
        </w:rPr>
        <w:t>f</w:t>
      </w:r>
      <w:r w:rsidRPr="00D034C2">
        <w:rPr>
          <w:lang w:val="en-US"/>
        </w:rPr>
        <w:t xml:space="preserve">ruit </w:t>
      </w:r>
      <w:proofErr w:type="spellStart"/>
      <w:r w:rsidRPr="00D034C2">
        <w:rPr>
          <w:lang w:val="en-US"/>
        </w:rPr>
        <w:t>renown'd</w:t>
      </w:r>
      <w:proofErr w:type="spellEnd"/>
      <w:r w:rsidRPr="00D034C2">
        <w:rPr>
          <w:lang w:val="en-US"/>
        </w:rPr>
        <w:t>,</w:t>
      </w:r>
    </w:p>
    <w:p w14:paraId="4A8B9AF9" w14:textId="0750FD1C" w:rsidR="00E9637A" w:rsidRPr="00D034C2" w:rsidRDefault="00E9637A" w:rsidP="001A3204">
      <w:pPr>
        <w:pStyle w:val="Textoindependiente"/>
        <w:spacing w:line="360" w:lineRule="auto"/>
        <w:ind w:firstLine="708"/>
        <w:rPr>
          <w:lang w:val="en-US"/>
        </w:rPr>
      </w:pPr>
      <w:r w:rsidRPr="00D034C2">
        <w:rPr>
          <w:lang w:val="en-US"/>
        </w:rPr>
        <w:t xml:space="preserve">But such as at </w:t>
      </w:r>
      <w:proofErr w:type="gramStart"/>
      <w:r w:rsidRPr="00D034C2">
        <w:rPr>
          <w:lang w:val="en-US"/>
        </w:rPr>
        <w:t>this day</w:t>
      </w:r>
      <w:r w:rsidR="005A09C7" w:rsidRPr="00D034C2">
        <w:rPr>
          <w:lang w:val="en-US"/>
        </w:rPr>
        <w:t>s</w:t>
      </w:r>
      <w:proofErr w:type="gramEnd"/>
      <w:r w:rsidR="005A09C7" w:rsidRPr="00D034C2">
        <w:rPr>
          <w:lang w:val="en-US"/>
        </w:rPr>
        <w:t>,</w:t>
      </w:r>
      <w:r w:rsidRPr="00D034C2">
        <w:rPr>
          <w:lang w:val="en-US"/>
        </w:rPr>
        <w:t xml:space="preserve"> to Indians known</w:t>
      </w:r>
      <w:r w:rsidR="005A09C7" w:rsidRPr="00D034C2">
        <w:rPr>
          <w:lang w:val="en-US"/>
        </w:rPr>
        <w:t>,</w:t>
      </w:r>
    </w:p>
    <w:p w14:paraId="68C51088" w14:textId="2FF88EBC" w:rsidR="00E9637A" w:rsidRPr="00D034C2" w:rsidRDefault="00E9637A" w:rsidP="001A3204">
      <w:pPr>
        <w:pStyle w:val="Textoindependiente"/>
        <w:spacing w:line="360" w:lineRule="auto"/>
        <w:ind w:firstLine="708"/>
        <w:rPr>
          <w:lang w:val="en-US"/>
        </w:rPr>
      </w:pPr>
      <w:r w:rsidRPr="00D034C2">
        <w:rPr>
          <w:lang w:val="en-US"/>
        </w:rPr>
        <w:t>In Malabar or Dec</w:t>
      </w:r>
      <w:r w:rsidR="005A09C7" w:rsidRPr="00D034C2">
        <w:rPr>
          <w:lang w:val="en-US"/>
        </w:rPr>
        <w:t>c</w:t>
      </w:r>
      <w:r w:rsidRPr="00D034C2">
        <w:rPr>
          <w:lang w:val="en-US"/>
        </w:rPr>
        <w:t>an spre</w:t>
      </w:r>
      <w:r w:rsidR="005A09C7" w:rsidRPr="00D034C2">
        <w:rPr>
          <w:lang w:val="en-US"/>
        </w:rPr>
        <w:t>a</w:t>
      </w:r>
      <w:r w:rsidRPr="00D034C2">
        <w:rPr>
          <w:lang w:val="en-US"/>
        </w:rPr>
        <w:t xml:space="preserve">ds her </w:t>
      </w:r>
      <w:r w:rsidR="005A09C7" w:rsidRPr="00D034C2">
        <w:rPr>
          <w:lang w:val="en-US"/>
        </w:rPr>
        <w:t>arms</w:t>
      </w:r>
    </w:p>
    <w:p w14:paraId="6B181595" w14:textId="48C51C7C" w:rsidR="00E9637A" w:rsidRPr="00D034C2" w:rsidRDefault="00E9637A" w:rsidP="001A3204">
      <w:pPr>
        <w:pStyle w:val="Textoindependiente"/>
        <w:spacing w:line="360" w:lineRule="auto"/>
        <w:ind w:firstLine="708"/>
        <w:rPr>
          <w:lang w:val="en-US"/>
        </w:rPr>
      </w:pPr>
      <w:r w:rsidRPr="00D034C2">
        <w:rPr>
          <w:lang w:val="en-US"/>
        </w:rPr>
        <w:t>Bra</w:t>
      </w:r>
      <w:r w:rsidR="005A09C7" w:rsidRPr="00D034C2">
        <w:rPr>
          <w:lang w:val="en-US"/>
        </w:rPr>
        <w:t>n</w:t>
      </w:r>
      <w:r w:rsidRPr="00D034C2">
        <w:rPr>
          <w:lang w:val="en-US"/>
        </w:rPr>
        <w:t>ching so broad and long that in the ground</w:t>
      </w:r>
    </w:p>
    <w:p w14:paraId="5C2AAD09" w14:textId="398A5444" w:rsidR="00E9637A" w:rsidRPr="00D034C2" w:rsidRDefault="00E9637A" w:rsidP="001A3204">
      <w:pPr>
        <w:pStyle w:val="Textoindependiente"/>
        <w:spacing w:line="360" w:lineRule="auto"/>
        <w:ind w:firstLine="708"/>
        <w:rPr>
          <w:lang w:val="en-US"/>
        </w:rPr>
      </w:pPr>
      <w:r w:rsidRPr="00D034C2">
        <w:rPr>
          <w:lang w:val="en-US"/>
        </w:rPr>
        <w:t xml:space="preserve">The bended </w:t>
      </w:r>
      <w:r w:rsidR="005A09C7" w:rsidRPr="00D034C2">
        <w:rPr>
          <w:lang w:val="en-US"/>
        </w:rPr>
        <w:t>t</w:t>
      </w:r>
      <w:r w:rsidRPr="00D034C2">
        <w:rPr>
          <w:lang w:val="en-US"/>
        </w:rPr>
        <w:t xml:space="preserve">wigs take root </w:t>
      </w:r>
      <w:r w:rsidR="00D034C2">
        <w:rPr>
          <w:lang w:val="en-US"/>
        </w:rPr>
        <w:t>[</w:t>
      </w:r>
      <w:r w:rsidRPr="00D034C2">
        <w:rPr>
          <w:lang w:val="en-US"/>
        </w:rPr>
        <w:t>…</w:t>
      </w:r>
      <w:r w:rsidR="00D034C2">
        <w:rPr>
          <w:lang w:val="en-US"/>
        </w:rPr>
        <w:t>]</w:t>
      </w:r>
      <w:r w:rsidRPr="00D034C2">
        <w:rPr>
          <w:lang w:val="en-US"/>
        </w:rPr>
        <w:t xml:space="preserve"> </w:t>
      </w:r>
    </w:p>
    <w:p w14:paraId="1600EFB7" w14:textId="3F3A86FC" w:rsidR="00E9637A" w:rsidRPr="00D034C2" w:rsidRDefault="00E9637A" w:rsidP="001A3204">
      <w:pPr>
        <w:pStyle w:val="Textoindependiente"/>
        <w:spacing w:line="360" w:lineRule="auto"/>
        <w:ind w:left="2124" w:firstLine="708"/>
        <w:rPr>
          <w:lang w:val="en-US"/>
        </w:rPr>
      </w:pPr>
      <w:r w:rsidRPr="00D034C2">
        <w:rPr>
          <w:iCs/>
          <w:lang w:val="en-US"/>
        </w:rPr>
        <w:t>John Milton,</w:t>
      </w:r>
      <w:r w:rsidRPr="00D034C2">
        <w:rPr>
          <w:i/>
          <w:iCs/>
          <w:lang w:val="en-US"/>
        </w:rPr>
        <w:t xml:space="preserve"> Paradise Lost</w:t>
      </w:r>
      <w:r w:rsidRPr="00D034C2">
        <w:rPr>
          <w:lang w:val="en-US"/>
        </w:rPr>
        <w:t xml:space="preserve"> (9.1100-1105)</w:t>
      </w:r>
    </w:p>
    <w:p w14:paraId="73288906" w14:textId="332373C9" w:rsidR="00E9637A" w:rsidRPr="00D034C2" w:rsidRDefault="00E9637A" w:rsidP="001A3204">
      <w:pPr>
        <w:spacing w:line="360" w:lineRule="auto"/>
        <w:rPr>
          <w:rFonts w:ascii="Times New Roman" w:hAnsi="Times New Roman" w:cs="Times New Roman"/>
          <w:sz w:val="24"/>
          <w:szCs w:val="24"/>
          <w:lang w:val="en-US"/>
        </w:rPr>
      </w:pPr>
    </w:p>
    <w:p w14:paraId="11153031"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The modest Rose puts forth a thorn, </w:t>
      </w:r>
    </w:p>
    <w:p w14:paraId="3B052A8C"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The humble Sheep a </w:t>
      </w:r>
      <w:proofErr w:type="spellStart"/>
      <w:r w:rsidRPr="00D034C2">
        <w:rPr>
          <w:lang w:val="en-US"/>
        </w:rPr>
        <w:t>threat’ning</w:t>
      </w:r>
      <w:proofErr w:type="spellEnd"/>
      <w:r w:rsidRPr="00D034C2">
        <w:rPr>
          <w:lang w:val="en-US"/>
        </w:rPr>
        <w:t xml:space="preserve"> horn: </w:t>
      </w:r>
    </w:p>
    <w:p w14:paraId="3C50B9B0"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While the Lilly white shall in Love Delight, </w:t>
      </w:r>
    </w:p>
    <w:p w14:paraId="4321D922"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Nor a thorn nor a threat stain her beauty bright </w:t>
      </w:r>
    </w:p>
    <w:p w14:paraId="78AF9F9A" w14:textId="6F3A9E4D" w:rsidR="00E9637A" w:rsidRPr="00D034C2" w:rsidRDefault="00E9637A" w:rsidP="001A3204">
      <w:pPr>
        <w:pStyle w:val="Textoindependiente"/>
        <w:spacing w:line="360" w:lineRule="auto"/>
        <w:ind w:left="2832" w:firstLine="708"/>
        <w:jc w:val="left"/>
        <w:rPr>
          <w:lang w:val="en-US"/>
        </w:rPr>
      </w:pPr>
      <w:r w:rsidRPr="00D034C2">
        <w:rPr>
          <w:lang w:val="en-US"/>
        </w:rPr>
        <w:t>(“The Lily”: Blake 1988</w:t>
      </w:r>
      <w:r w:rsidR="002E07E0" w:rsidRPr="00D034C2">
        <w:rPr>
          <w:lang w:val="en-US"/>
        </w:rPr>
        <w:t>,</w:t>
      </w:r>
      <w:r w:rsidRPr="00D034C2">
        <w:rPr>
          <w:lang w:val="en-US"/>
        </w:rPr>
        <w:t xml:space="preserve"> 25)</w:t>
      </w:r>
    </w:p>
    <w:p w14:paraId="160D205F" w14:textId="109F9DA1" w:rsidR="00E9637A" w:rsidRPr="00D034C2" w:rsidRDefault="00E9637A" w:rsidP="001A3204">
      <w:pPr>
        <w:pStyle w:val="Textoindependiente"/>
        <w:spacing w:line="360" w:lineRule="auto"/>
        <w:ind w:left="2832" w:firstLine="708"/>
        <w:jc w:val="left"/>
        <w:rPr>
          <w:lang w:val="en-US"/>
        </w:rPr>
      </w:pPr>
    </w:p>
    <w:p w14:paraId="382417D9"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O life of our spring! Why fades the lotus of the water? </w:t>
      </w:r>
    </w:p>
    <w:p w14:paraId="54B94373" w14:textId="77777777" w:rsidR="00E9637A" w:rsidRPr="00D034C2" w:rsidRDefault="00E9637A" w:rsidP="001A3204">
      <w:pPr>
        <w:pStyle w:val="Textoindependiente"/>
        <w:spacing w:line="360" w:lineRule="auto"/>
        <w:ind w:firstLine="708"/>
        <w:jc w:val="left"/>
        <w:rPr>
          <w:lang w:val="en-US"/>
        </w:rPr>
      </w:pPr>
      <w:r w:rsidRPr="00D034C2">
        <w:rPr>
          <w:lang w:val="en-US"/>
        </w:rPr>
        <w:t xml:space="preserve">Why fade these children of the </w:t>
      </w:r>
      <w:proofErr w:type="gramStart"/>
      <w:r w:rsidRPr="00D034C2">
        <w:rPr>
          <w:lang w:val="en-US"/>
        </w:rPr>
        <w:t>spring,</w:t>
      </w:r>
      <w:proofErr w:type="gramEnd"/>
      <w:r w:rsidRPr="00D034C2">
        <w:rPr>
          <w:lang w:val="en-US"/>
        </w:rPr>
        <w:t xml:space="preserve"> </w:t>
      </w:r>
    </w:p>
    <w:p w14:paraId="1523EF7C" w14:textId="2E8F90F8" w:rsidR="00E9637A" w:rsidRPr="00D034C2" w:rsidRDefault="00E9637A" w:rsidP="001A3204">
      <w:pPr>
        <w:pStyle w:val="Textoindependiente"/>
        <w:spacing w:line="360" w:lineRule="auto"/>
        <w:ind w:firstLine="708"/>
        <w:jc w:val="left"/>
        <w:rPr>
          <w:lang w:val="en-US"/>
        </w:rPr>
      </w:pPr>
      <w:r w:rsidRPr="00D034C2">
        <w:rPr>
          <w:lang w:val="en-US"/>
        </w:rPr>
        <w:t xml:space="preserve">born but to smile and fall? </w:t>
      </w:r>
    </w:p>
    <w:p w14:paraId="566ED70B" w14:textId="6DC39995" w:rsidR="00E9637A" w:rsidRPr="00D034C2" w:rsidRDefault="00E9637A" w:rsidP="001A3204">
      <w:pPr>
        <w:pStyle w:val="Textoindependiente"/>
        <w:spacing w:line="360" w:lineRule="auto"/>
        <w:ind w:left="2832" w:firstLine="708"/>
        <w:jc w:val="left"/>
        <w:rPr>
          <w:lang w:val="en-US"/>
        </w:rPr>
      </w:pPr>
      <w:r w:rsidRPr="00D034C2">
        <w:rPr>
          <w:lang w:val="en-US"/>
        </w:rPr>
        <w:t>(</w:t>
      </w:r>
      <w:r w:rsidRPr="00D034C2">
        <w:rPr>
          <w:i/>
          <w:lang w:val="en-US"/>
        </w:rPr>
        <w:t xml:space="preserve">The Book of </w:t>
      </w:r>
      <w:proofErr w:type="spellStart"/>
      <w:r w:rsidRPr="00D034C2">
        <w:rPr>
          <w:i/>
          <w:lang w:val="en-US"/>
        </w:rPr>
        <w:t>Thel</w:t>
      </w:r>
      <w:proofErr w:type="spellEnd"/>
      <w:r w:rsidRPr="00D034C2">
        <w:rPr>
          <w:lang w:val="en-US"/>
        </w:rPr>
        <w:t>: Blake 1988</w:t>
      </w:r>
      <w:r w:rsidR="002E07E0" w:rsidRPr="00D034C2">
        <w:rPr>
          <w:lang w:val="en-US"/>
        </w:rPr>
        <w:t>,</w:t>
      </w:r>
      <w:r w:rsidRPr="00D034C2">
        <w:rPr>
          <w:lang w:val="en-US"/>
        </w:rPr>
        <w:t xml:space="preserve"> 3).</w:t>
      </w:r>
    </w:p>
    <w:p w14:paraId="721DB4D7" w14:textId="6A22ADD9" w:rsidR="00E9637A" w:rsidRPr="00D034C2" w:rsidRDefault="00E9637A" w:rsidP="001A3204">
      <w:pPr>
        <w:spacing w:line="360" w:lineRule="auto"/>
        <w:rPr>
          <w:rFonts w:ascii="Times New Roman" w:hAnsi="Times New Roman" w:cs="Times New Roman"/>
          <w:sz w:val="24"/>
          <w:szCs w:val="24"/>
          <w:lang w:val="en-US"/>
        </w:rPr>
      </w:pPr>
    </w:p>
    <w:p w14:paraId="3B1235EE" w14:textId="7CA7421C" w:rsidR="00E9637A" w:rsidRPr="00D034C2" w:rsidRDefault="00D034C2" w:rsidP="00320FCD">
      <w:pPr>
        <w:pStyle w:val="Textonotapie"/>
        <w:spacing w:line="360" w:lineRule="auto"/>
        <w:jc w:val="both"/>
        <w:rPr>
          <w:sz w:val="24"/>
          <w:szCs w:val="24"/>
          <w:lang w:val="en-US"/>
        </w:rPr>
      </w:pPr>
      <w:r>
        <w:rPr>
          <w:sz w:val="24"/>
          <w:szCs w:val="24"/>
          <w:lang w:val="en-US"/>
        </w:rPr>
        <w:t>[</w:t>
      </w:r>
      <w:r w:rsidR="00E9637A" w:rsidRPr="00D034C2">
        <w:rPr>
          <w:sz w:val="24"/>
          <w:szCs w:val="24"/>
          <w:lang w:val="en-US"/>
        </w:rPr>
        <w:t>…</w:t>
      </w:r>
      <w:r>
        <w:rPr>
          <w:sz w:val="24"/>
          <w:szCs w:val="24"/>
          <w:lang w:val="en-US"/>
        </w:rPr>
        <w:t xml:space="preserve">] </w:t>
      </w:r>
      <w:r w:rsidR="00E9637A" w:rsidRPr="00D034C2">
        <w:rPr>
          <w:sz w:val="24"/>
          <w:szCs w:val="24"/>
          <w:lang w:val="en-US"/>
        </w:rPr>
        <w:t>it may be affirmed, as a principle, not susceptible of dispute, that good management of any portion of the affairs of any community is almost always proportional to the degree of knowledge respecting it diffused in that community (Mill 1826</w:t>
      </w:r>
      <w:r w:rsidR="00320FCD" w:rsidRPr="00D034C2">
        <w:rPr>
          <w:sz w:val="24"/>
          <w:szCs w:val="24"/>
          <w:lang w:val="en-US"/>
        </w:rPr>
        <w:t xml:space="preserve"> vol. I</w:t>
      </w:r>
      <w:r w:rsidR="002E07E0" w:rsidRPr="00D034C2">
        <w:rPr>
          <w:sz w:val="24"/>
          <w:szCs w:val="24"/>
          <w:lang w:val="en-US"/>
        </w:rPr>
        <w:t>,</w:t>
      </w:r>
      <w:r w:rsidR="00E9637A" w:rsidRPr="00D034C2">
        <w:rPr>
          <w:sz w:val="24"/>
          <w:szCs w:val="24"/>
          <w:lang w:val="en-US"/>
        </w:rPr>
        <w:t xml:space="preserve"> vii).</w:t>
      </w:r>
    </w:p>
    <w:p w14:paraId="1A15A192" w14:textId="77777777" w:rsidR="00203A2F" w:rsidRPr="00D034C2" w:rsidRDefault="00203A2F" w:rsidP="00320FCD">
      <w:pPr>
        <w:pStyle w:val="Textonotapie"/>
        <w:spacing w:line="360" w:lineRule="auto"/>
        <w:jc w:val="both"/>
        <w:rPr>
          <w:sz w:val="24"/>
          <w:szCs w:val="24"/>
          <w:lang w:val="en-US"/>
        </w:rPr>
      </w:pPr>
    </w:p>
    <w:p w14:paraId="20527551" w14:textId="397BC3A0" w:rsidR="00E71F20" w:rsidRPr="00D034C2" w:rsidRDefault="00320FCD" w:rsidP="00320FCD">
      <w:pPr>
        <w:pStyle w:val="Textonotapie"/>
        <w:spacing w:line="360" w:lineRule="auto"/>
        <w:jc w:val="both"/>
        <w:rPr>
          <w:sz w:val="24"/>
          <w:szCs w:val="24"/>
          <w:lang w:val="en-US"/>
        </w:rPr>
      </w:pPr>
      <w:r w:rsidRPr="00D034C2">
        <w:rPr>
          <w:sz w:val="24"/>
          <w:szCs w:val="24"/>
          <w:lang w:val="en-US"/>
        </w:rPr>
        <w:lastRenderedPageBreak/>
        <w:t>As soon as ever thing of importance is expressed in writing, a man who is duly qualified may obtain more knowledge of India in one year in his closet in England, than he could obtain during the course of the longest life, by the use of his eyes and his ears in India (Mill 1826 vol. I, xii).</w:t>
      </w:r>
    </w:p>
    <w:p w14:paraId="337BF806" w14:textId="77777777" w:rsidR="00E71F20" w:rsidRPr="00D034C2" w:rsidRDefault="00E71F20" w:rsidP="00320FCD">
      <w:pPr>
        <w:pStyle w:val="Textonotapie"/>
        <w:spacing w:line="360" w:lineRule="auto"/>
        <w:jc w:val="both"/>
        <w:rPr>
          <w:sz w:val="24"/>
          <w:szCs w:val="24"/>
          <w:lang w:val="en-US"/>
        </w:rPr>
      </w:pPr>
    </w:p>
    <w:p w14:paraId="0D1566D8" w14:textId="4D204AE3" w:rsidR="00A66AE2" w:rsidRPr="00D034C2" w:rsidRDefault="00A66AE2" w:rsidP="00320FCD">
      <w:pPr>
        <w:pStyle w:val="Textonotapie"/>
        <w:spacing w:line="360" w:lineRule="auto"/>
        <w:jc w:val="both"/>
        <w:rPr>
          <w:sz w:val="24"/>
          <w:szCs w:val="24"/>
          <w:lang w:val="en-US"/>
        </w:rPr>
      </w:pPr>
      <w:r w:rsidRPr="00D034C2">
        <w:rPr>
          <w:sz w:val="24"/>
          <w:szCs w:val="24"/>
          <w:lang w:val="en-US"/>
        </w:rPr>
        <w:t xml:space="preserve">I hesitate not to pronounce the Geeta a performance of great originality; of a sublimity of conception, reasoning, and diction, almost unequalled; and a single exception, among all the known religions of mankind, </w:t>
      </w:r>
      <w:bookmarkStart w:id="0" w:name="_GoBack"/>
      <w:bookmarkEnd w:id="0"/>
      <w:r w:rsidRPr="00D034C2">
        <w:rPr>
          <w:sz w:val="24"/>
          <w:szCs w:val="24"/>
          <w:lang w:val="en-US"/>
        </w:rPr>
        <w:t>of a theology accurately corresponding with that of the Christian dispensation, and most powerfully illustrating its fundamental doctrines (Wilkins 1871, 14).</w:t>
      </w:r>
    </w:p>
    <w:p w14:paraId="55A1CA90" w14:textId="77777777" w:rsidR="00A66AE2" w:rsidRPr="00D034C2" w:rsidRDefault="00A66AE2" w:rsidP="00320FCD">
      <w:pPr>
        <w:pStyle w:val="Textonotapie"/>
        <w:spacing w:line="360" w:lineRule="auto"/>
        <w:jc w:val="both"/>
        <w:rPr>
          <w:sz w:val="24"/>
          <w:szCs w:val="24"/>
          <w:lang w:val="en-US"/>
        </w:rPr>
      </w:pPr>
    </w:p>
    <w:p w14:paraId="7013B705" w14:textId="77777777" w:rsidR="00901919" w:rsidRPr="00D034C2" w:rsidRDefault="00901919" w:rsidP="00901919">
      <w:pPr>
        <w:pStyle w:val="Textonotapie"/>
        <w:spacing w:line="360" w:lineRule="auto"/>
        <w:jc w:val="both"/>
        <w:rPr>
          <w:sz w:val="24"/>
          <w:szCs w:val="24"/>
          <w:lang w:val="en-US"/>
        </w:rPr>
      </w:pPr>
      <w:r w:rsidRPr="00D034C2">
        <w:rPr>
          <w:sz w:val="24"/>
          <w:szCs w:val="24"/>
          <w:lang w:val="en-US"/>
        </w:rPr>
        <w:t>The philosophy of the East taught the first principles of human perception [;] some nations held one principle for the origin &amp; some another” (</w:t>
      </w:r>
      <w:r w:rsidRPr="00D034C2">
        <w:rPr>
          <w:i/>
          <w:sz w:val="24"/>
          <w:szCs w:val="24"/>
          <w:lang w:val="en-US"/>
        </w:rPr>
        <w:t>The Marriage of Heaven and Hell</w:t>
      </w:r>
      <w:r w:rsidRPr="00D034C2">
        <w:rPr>
          <w:sz w:val="24"/>
          <w:szCs w:val="24"/>
          <w:lang w:val="en-US"/>
        </w:rPr>
        <w:t>: Blake 1988, 39).</w:t>
      </w:r>
    </w:p>
    <w:p w14:paraId="0D5920A4" w14:textId="77777777" w:rsidR="00901919" w:rsidRPr="00D034C2" w:rsidRDefault="00901919" w:rsidP="00901919">
      <w:pPr>
        <w:pStyle w:val="Textonotapie"/>
        <w:spacing w:line="360" w:lineRule="auto"/>
        <w:jc w:val="both"/>
        <w:rPr>
          <w:sz w:val="24"/>
          <w:szCs w:val="24"/>
          <w:lang w:val="en-US"/>
        </w:rPr>
      </w:pPr>
    </w:p>
    <w:p w14:paraId="25E9C5E9" w14:textId="2F45DFCA" w:rsidR="001A3204" w:rsidRPr="00D034C2" w:rsidRDefault="00203A2F" w:rsidP="00901919">
      <w:pPr>
        <w:pStyle w:val="Textonotapie"/>
        <w:spacing w:line="360" w:lineRule="auto"/>
        <w:jc w:val="both"/>
        <w:rPr>
          <w:sz w:val="24"/>
          <w:szCs w:val="24"/>
          <w:lang w:val="en-US"/>
        </w:rPr>
      </w:pPr>
      <w:r w:rsidRPr="00D034C2">
        <w:rPr>
          <w:sz w:val="24"/>
          <w:szCs w:val="24"/>
          <w:lang w:val="en-US"/>
        </w:rPr>
        <w:t>Every accumulation of knowledge, and especially such as is obtained by social communication with people over whom we exercise dominion founded on the rights of conquest, is useful to the state (Wilkins 1871, 14).</w:t>
      </w:r>
    </w:p>
    <w:p w14:paraId="63A6203B" w14:textId="77777777" w:rsidR="001A3204" w:rsidRPr="00D034C2" w:rsidRDefault="001A3204" w:rsidP="00320FCD">
      <w:pPr>
        <w:spacing w:line="360" w:lineRule="auto"/>
        <w:jc w:val="both"/>
        <w:rPr>
          <w:rFonts w:ascii="Times New Roman" w:hAnsi="Times New Roman" w:cs="Times New Roman"/>
          <w:sz w:val="24"/>
          <w:szCs w:val="24"/>
          <w:lang w:val="en-US"/>
        </w:rPr>
      </w:pPr>
    </w:p>
    <w:p w14:paraId="1955ACEC" w14:textId="22B6F304" w:rsidR="002E07E0" w:rsidRPr="00D034C2" w:rsidRDefault="00E71F20" w:rsidP="00320FCD">
      <w:pPr>
        <w:spacing w:line="360" w:lineRule="auto"/>
        <w:jc w:val="both"/>
        <w:rPr>
          <w:rFonts w:ascii="Times New Roman" w:hAnsi="Times New Roman" w:cs="Times New Roman"/>
          <w:sz w:val="24"/>
          <w:szCs w:val="24"/>
          <w:lang w:val="en-US"/>
        </w:rPr>
      </w:pPr>
      <w:r w:rsidRPr="00D034C2">
        <w:rPr>
          <w:rFonts w:ascii="Times New Roman" w:hAnsi="Times New Roman" w:cs="Times New Roman"/>
          <w:sz w:val="24"/>
          <w:szCs w:val="24"/>
          <w:lang w:val="en-US"/>
        </w:rPr>
        <w:t xml:space="preserve">“the distortions of [the] faculty that prevented men from forming the accurate </w:t>
      </w:r>
      <w:r w:rsidR="00320FCD" w:rsidRPr="00D034C2">
        <w:rPr>
          <w:rFonts w:ascii="Times New Roman" w:hAnsi="Times New Roman" w:cs="Times New Roman"/>
          <w:sz w:val="24"/>
          <w:szCs w:val="24"/>
          <w:lang w:val="en-US"/>
        </w:rPr>
        <w:t>assessments</w:t>
      </w:r>
      <w:r w:rsidRPr="00D034C2">
        <w:rPr>
          <w:rFonts w:ascii="Times New Roman" w:hAnsi="Times New Roman" w:cs="Times New Roman"/>
          <w:sz w:val="24"/>
          <w:szCs w:val="24"/>
          <w:lang w:val="en-US"/>
        </w:rPr>
        <w:t xml:space="preserve"> of affairs upon which they could define means to achieve their interests” (James Mill </w:t>
      </w:r>
      <w:proofErr w:type="spellStart"/>
      <w:r w:rsidRPr="00D034C2">
        <w:rPr>
          <w:rFonts w:ascii="Times New Roman" w:hAnsi="Times New Roman" w:cs="Times New Roman"/>
          <w:sz w:val="24"/>
          <w:szCs w:val="24"/>
          <w:lang w:val="en-US"/>
        </w:rPr>
        <w:t>en</w:t>
      </w:r>
      <w:proofErr w:type="spellEnd"/>
      <w:r w:rsidRPr="00D034C2">
        <w:rPr>
          <w:rFonts w:ascii="Times New Roman" w:hAnsi="Times New Roman" w:cs="Times New Roman"/>
          <w:sz w:val="24"/>
          <w:szCs w:val="24"/>
          <w:lang w:val="en-US"/>
        </w:rPr>
        <w:t xml:space="preserve"> Majeed 1992, 165).</w:t>
      </w:r>
    </w:p>
    <w:p w14:paraId="2B6DBF76" w14:textId="77777777" w:rsidR="00E71F20" w:rsidRPr="00D034C2" w:rsidRDefault="00E71F20" w:rsidP="00320FCD">
      <w:pPr>
        <w:spacing w:line="360" w:lineRule="auto"/>
        <w:jc w:val="both"/>
        <w:rPr>
          <w:rFonts w:ascii="Times New Roman" w:hAnsi="Times New Roman" w:cs="Times New Roman"/>
          <w:sz w:val="24"/>
          <w:szCs w:val="24"/>
          <w:lang w:val="en-US"/>
        </w:rPr>
      </w:pPr>
    </w:p>
    <w:p w14:paraId="342592E7" w14:textId="64956E9D" w:rsidR="00FD0FDD" w:rsidRPr="00D034C2" w:rsidRDefault="00D034C2" w:rsidP="00320FC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E07E0" w:rsidRPr="00D034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E07E0" w:rsidRPr="00D034C2">
        <w:rPr>
          <w:rFonts w:ascii="Times New Roman" w:hAnsi="Times New Roman" w:cs="Times New Roman"/>
          <w:sz w:val="24"/>
          <w:szCs w:val="24"/>
          <w:lang w:val="en-US"/>
        </w:rPr>
        <w:t xml:space="preserve">in whatever degree poetry is cultivated, it must necessarily be to the neglect of some branch of useful study” (James Mill </w:t>
      </w:r>
      <w:proofErr w:type="spellStart"/>
      <w:r w:rsidR="002E07E0" w:rsidRPr="00D034C2">
        <w:rPr>
          <w:rFonts w:ascii="Times New Roman" w:hAnsi="Times New Roman" w:cs="Times New Roman"/>
          <w:sz w:val="24"/>
          <w:szCs w:val="24"/>
          <w:lang w:val="en-US"/>
        </w:rPr>
        <w:t>en</w:t>
      </w:r>
      <w:proofErr w:type="spellEnd"/>
      <w:r w:rsidR="002E07E0" w:rsidRPr="00D034C2">
        <w:rPr>
          <w:rFonts w:ascii="Times New Roman" w:hAnsi="Times New Roman" w:cs="Times New Roman"/>
          <w:sz w:val="24"/>
          <w:szCs w:val="24"/>
          <w:lang w:val="en-US"/>
        </w:rPr>
        <w:t xml:space="preserve"> Majeed 1992, 165).</w:t>
      </w:r>
    </w:p>
    <w:p w14:paraId="389DA018" w14:textId="77777777" w:rsidR="00FD0FDD" w:rsidRPr="00D034C2" w:rsidRDefault="00FD0FDD" w:rsidP="00320FCD">
      <w:pPr>
        <w:spacing w:line="360" w:lineRule="auto"/>
        <w:jc w:val="both"/>
        <w:rPr>
          <w:rFonts w:ascii="Times New Roman" w:hAnsi="Times New Roman" w:cs="Times New Roman"/>
          <w:sz w:val="24"/>
          <w:szCs w:val="24"/>
          <w:lang w:val="en-US"/>
        </w:rPr>
      </w:pPr>
    </w:p>
    <w:p w14:paraId="0F5573FE" w14:textId="77777777" w:rsidR="00D034C2" w:rsidRDefault="00D034C2" w:rsidP="00320FCD">
      <w:pPr>
        <w:spacing w:line="360" w:lineRule="auto"/>
        <w:jc w:val="both"/>
        <w:rPr>
          <w:rFonts w:ascii="Times New Roman" w:hAnsi="Times New Roman" w:cs="Times New Roman"/>
          <w:b/>
          <w:sz w:val="24"/>
          <w:szCs w:val="24"/>
          <w:lang w:val="en-US"/>
        </w:rPr>
      </w:pPr>
    </w:p>
    <w:p w14:paraId="72205E34" w14:textId="77777777" w:rsidR="00D034C2" w:rsidRDefault="00D034C2" w:rsidP="00320FCD">
      <w:pPr>
        <w:spacing w:line="360" w:lineRule="auto"/>
        <w:jc w:val="both"/>
        <w:rPr>
          <w:rFonts w:ascii="Times New Roman" w:hAnsi="Times New Roman" w:cs="Times New Roman"/>
          <w:b/>
          <w:sz w:val="24"/>
          <w:szCs w:val="24"/>
          <w:lang w:val="en-US"/>
        </w:rPr>
      </w:pPr>
    </w:p>
    <w:p w14:paraId="2A5959D9" w14:textId="77777777" w:rsidR="00D034C2" w:rsidRDefault="00D034C2" w:rsidP="00320FCD">
      <w:pPr>
        <w:spacing w:line="360" w:lineRule="auto"/>
        <w:jc w:val="both"/>
        <w:rPr>
          <w:rFonts w:ascii="Times New Roman" w:hAnsi="Times New Roman" w:cs="Times New Roman"/>
          <w:b/>
          <w:sz w:val="24"/>
          <w:szCs w:val="24"/>
          <w:lang w:val="en-US"/>
        </w:rPr>
      </w:pPr>
    </w:p>
    <w:p w14:paraId="14B94050" w14:textId="5ECAEFAB" w:rsidR="00FD0FDD" w:rsidRPr="00D034C2" w:rsidRDefault="00D034C2" w:rsidP="00320FCD">
      <w:pPr>
        <w:spacing w:line="360" w:lineRule="auto"/>
        <w:jc w:val="both"/>
        <w:rPr>
          <w:rFonts w:ascii="Times New Roman" w:hAnsi="Times New Roman" w:cs="Times New Roman"/>
          <w:b/>
          <w:sz w:val="24"/>
          <w:szCs w:val="24"/>
          <w:lang w:val="en-US"/>
        </w:rPr>
      </w:pPr>
      <w:proofErr w:type="spellStart"/>
      <w:r w:rsidRPr="00D034C2">
        <w:rPr>
          <w:rFonts w:ascii="Times New Roman" w:hAnsi="Times New Roman" w:cs="Times New Roman"/>
          <w:b/>
          <w:sz w:val="24"/>
          <w:szCs w:val="24"/>
          <w:lang w:val="en-US"/>
        </w:rPr>
        <w:lastRenderedPageBreak/>
        <w:t>Referencias</w:t>
      </w:r>
      <w:proofErr w:type="spellEnd"/>
    </w:p>
    <w:p w14:paraId="195DC0F2" w14:textId="77777777" w:rsidR="00D034C2" w:rsidRPr="00D034C2" w:rsidRDefault="00D034C2" w:rsidP="008565CA">
      <w:pPr>
        <w:pStyle w:val="Textoindependiente"/>
        <w:spacing w:line="240" w:lineRule="auto"/>
        <w:ind w:left="709" w:hanging="709"/>
        <w:rPr>
          <w:lang w:val="en-US"/>
        </w:rPr>
      </w:pPr>
      <w:bookmarkStart w:id="1" w:name="_Hlk200538588"/>
      <w:r w:rsidRPr="00D034C2">
        <w:rPr>
          <w:lang w:val="en-GB"/>
        </w:rPr>
        <w:t xml:space="preserve">Blake, </w:t>
      </w:r>
      <w:r w:rsidRPr="00D034C2">
        <w:rPr>
          <w:lang w:val="en-US"/>
        </w:rPr>
        <w:t>William</w:t>
      </w:r>
      <w:r w:rsidRPr="00D034C2">
        <w:rPr>
          <w:lang w:val="en-GB"/>
        </w:rPr>
        <w:t xml:space="preserve">. </w:t>
      </w:r>
      <w:r w:rsidRPr="00D034C2">
        <w:rPr>
          <w:lang w:val="en-US"/>
        </w:rPr>
        <w:t xml:space="preserve">1988. </w:t>
      </w:r>
      <w:r w:rsidRPr="00D034C2">
        <w:rPr>
          <w:i/>
          <w:lang w:val="en-GB"/>
        </w:rPr>
        <w:t xml:space="preserve">The Complete Poetry and Prose of William Blake. </w:t>
      </w:r>
      <w:proofErr w:type="spellStart"/>
      <w:r w:rsidRPr="00D034C2">
        <w:rPr>
          <w:lang w:val="en-GB"/>
        </w:rPr>
        <w:t>Editado</w:t>
      </w:r>
      <w:proofErr w:type="spellEnd"/>
      <w:r w:rsidRPr="00D034C2">
        <w:rPr>
          <w:lang w:val="en-GB"/>
        </w:rPr>
        <w:t xml:space="preserve"> por David V. Erdman. </w:t>
      </w:r>
      <w:r w:rsidRPr="00D034C2">
        <w:rPr>
          <w:lang w:val="en-US"/>
        </w:rPr>
        <w:t>Nueva York:</w:t>
      </w:r>
      <w:r w:rsidRPr="00D034C2">
        <w:rPr>
          <w:lang w:val="en-GB"/>
        </w:rPr>
        <w:t xml:space="preserve"> </w:t>
      </w:r>
      <w:r w:rsidRPr="00D034C2">
        <w:rPr>
          <w:lang w:val="en-US"/>
        </w:rPr>
        <w:t xml:space="preserve">Anchor Books. </w:t>
      </w:r>
    </w:p>
    <w:bookmarkEnd w:id="1"/>
    <w:p w14:paraId="65F72227" w14:textId="77777777" w:rsidR="00D034C2" w:rsidRPr="00D034C2" w:rsidRDefault="00D034C2" w:rsidP="008565CA">
      <w:pPr>
        <w:spacing w:after="0" w:line="240" w:lineRule="auto"/>
        <w:ind w:left="709" w:hanging="709"/>
        <w:jc w:val="both"/>
        <w:rPr>
          <w:rFonts w:ascii="Times New Roman" w:hAnsi="Times New Roman" w:cs="Times New Roman"/>
          <w:sz w:val="24"/>
          <w:szCs w:val="24"/>
          <w:lang w:val="en-GB"/>
        </w:rPr>
      </w:pPr>
      <w:r w:rsidRPr="00D034C2">
        <w:rPr>
          <w:rFonts w:ascii="Times New Roman" w:hAnsi="Times New Roman" w:cs="Times New Roman"/>
          <w:sz w:val="24"/>
          <w:szCs w:val="24"/>
          <w:lang w:val="en-GB"/>
        </w:rPr>
        <w:t xml:space="preserve">Majeed, </w:t>
      </w:r>
      <w:proofErr w:type="spellStart"/>
      <w:r w:rsidRPr="00D034C2">
        <w:rPr>
          <w:rFonts w:ascii="Times New Roman" w:hAnsi="Times New Roman" w:cs="Times New Roman"/>
          <w:sz w:val="24"/>
          <w:szCs w:val="24"/>
          <w:lang w:val="en-GB"/>
        </w:rPr>
        <w:t>Javed</w:t>
      </w:r>
      <w:proofErr w:type="spellEnd"/>
      <w:r w:rsidRPr="00D034C2">
        <w:rPr>
          <w:rFonts w:ascii="Times New Roman" w:hAnsi="Times New Roman" w:cs="Times New Roman"/>
          <w:sz w:val="24"/>
          <w:szCs w:val="24"/>
          <w:lang w:val="en-GB"/>
        </w:rPr>
        <w:t xml:space="preserve">. 1992. </w:t>
      </w:r>
      <w:r w:rsidRPr="00D034C2">
        <w:rPr>
          <w:rFonts w:ascii="Times New Roman" w:hAnsi="Times New Roman" w:cs="Times New Roman"/>
          <w:i/>
          <w:iCs/>
          <w:sz w:val="24"/>
          <w:szCs w:val="24"/>
          <w:lang w:val="en-GB"/>
        </w:rPr>
        <w:t xml:space="preserve">Ungoverned Imaginings. James Mill’s </w:t>
      </w:r>
      <w:proofErr w:type="gramStart"/>
      <w:r w:rsidRPr="00D034C2">
        <w:rPr>
          <w:rFonts w:ascii="Times New Roman" w:hAnsi="Times New Roman" w:cs="Times New Roman"/>
          <w:sz w:val="24"/>
          <w:szCs w:val="24"/>
          <w:lang w:val="en-GB"/>
        </w:rPr>
        <w:t>The</w:t>
      </w:r>
      <w:proofErr w:type="gramEnd"/>
      <w:r w:rsidRPr="00D034C2">
        <w:rPr>
          <w:rFonts w:ascii="Times New Roman" w:hAnsi="Times New Roman" w:cs="Times New Roman"/>
          <w:sz w:val="24"/>
          <w:szCs w:val="24"/>
          <w:lang w:val="en-GB"/>
        </w:rPr>
        <w:t xml:space="preserve"> History of British India </w:t>
      </w:r>
      <w:r w:rsidRPr="00D034C2">
        <w:rPr>
          <w:rFonts w:ascii="Times New Roman" w:hAnsi="Times New Roman" w:cs="Times New Roman"/>
          <w:i/>
          <w:iCs/>
          <w:sz w:val="24"/>
          <w:szCs w:val="24"/>
          <w:lang w:val="en-GB"/>
        </w:rPr>
        <w:t>and Orientalism</w:t>
      </w:r>
      <w:r w:rsidRPr="00D034C2">
        <w:rPr>
          <w:rFonts w:ascii="Times New Roman" w:hAnsi="Times New Roman" w:cs="Times New Roman"/>
          <w:sz w:val="24"/>
          <w:szCs w:val="24"/>
          <w:lang w:val="en-GB"/>
        </w:rPr>
        <w:t xml:space="preserve">. Oxford: Clarendon Press. </w:t>
      </w:r>
    </w:p>
    <w:p w14:paraId="5189E393" w14:textId="7156D987" w:rsidR="00D034C2" w:rsidRPr="00D034C2" w:rsidRDefault="00D034C2" w:rsidP="008565CA">
      <w:pPr>
        <w:spacing w:after="0" w:line="240" w:lineRule="auto"/>
        <w:ind w:left="709" w:hanging="709"/>
        <w:jc w:val="both"/>
        <w:rPr>
          <w:rFonts w:ascii="Times New Roman" w:hAnsi="Times New Roman" w:cs="Times New Roman"/>
          <w:sz w:val="24"/>
          <w:szCs w:val="24"/>
        </w:rPr>
      </w:pPr>
      <w:r w:rsidRPr="00D034C2">
        <w:rPr>
          <w:rFonts w:ascii="Times New Roman" w:hAnsi="Times New Roman" w:cs="Times New Roman"/>
          <w:sz w:val="24"/>
          <w:szCs w:val="24"/>
          <w:lang w:val="en-GB"/>
        </w:rPr>
        <w:t xml:space="preserve">Mill, James. (1817) 1826. </w:t>
      </w:r>
      <w:r w:rsidRPr="00D034C2">
        <w:rPr>
          <w:rFonts w:ascii="Times New Roman" w:hAnsi="Times New Roman" w:cs="Times New Roman"/>
          <w:i/>
          <w:iCs/>
          <w:sz w:val="24"/>
          <w:szCs w:val="24"/>
          <w:lang w:val="en-GB"/>
        </w:rPr>
        <w:t xml:space="preserve">The History of British India. </w:t>
      </w:r>
      <w:r w:rsidRPr="00D034C2">
        <w:rPr>
          <w:rFonts w:ascii="Times New Roman" w:hAnsi="Times New Roman" w:cs="Times New Roman"/>
          <w:iCs/>
          <w:sz w:val="24"/>
          <w:szCs w:val="24"/>
          <w:lang w:val="en-GB"/>
        </w:rPr>
        <w:t>V</w:t>
      </w:r>
      <w:r w:rsidRPr="00D034C2">
        <w:rPr>
          <w:rFonts w:ascii="Times New Roman" w:hAnsi="Times New Roman" w:cs="Times New Roman"/>
          <w:sz w:val="24"/>
          <w:szCs w:val="24"/>
          <w:lang w:val="en-GB"/>
        </w:rPr>
        <w:t xml:space="preserve">ols. 1 y 2. </w:t>
      </w:r>
      <w:proofErr w:type="spellStart"/>
      <w:r w:rsidRPr="00D034C2">
        <w:rPr>
          <w:rFonts w:ascii="Times New Roman" w:hAnsi="Times New Roman" w:cs="Times New Roman"/>
          <w:sz w:val="24"/>
          <w:szCs w:val="24"/>
          <w:lang w:val="en-GB"/>
        </w:rPr>
        <w:t>Londres</w:t>
      </w:r>
      <w:proofErr w:type="spellEnd"/>
      <w:r w:rsidRPr="00D034C2">
        <w:rPr>
          <w:rFonts w:ascii="Times New Roman" w:hAnsi="Times New Roman" w:cs="Times New Roman"/>
          <w:sz w:val="24"/>
          <w:szCs w:val="24"/>
          <w:lang w:val="en-GB"/>
        </w:rPr>
        <w:t xml:space="preserve">: Baldwin, Cradock, and Joy. </w:t>
      </w:r>
      <w:hyperlink r:id="rId4" w:history="1">
        <w:r w:rsidRPr="00D034C2">
          <w:rPr>
            <w:rStyle w:val="Hipervnculo"/>
            <w:rFonts w:ascii="Times New Roman" w:hAnsi="Times New Roman" w:cs="Times New Roman"/>
            <w:sz w:val="24"/>
            <w:szCs w:val="24"/>
          </w:rPr>
          <w:t>http://oll.libertyfund.org/titles/mill-the-history-of-british-india-6-vols-1826</w:t>
        </w:r>
      </w:hyperlink>
    </w:p>
    <w:p w14:paraId="056BC48F" w14:textId="21335147" w:rsidR="00D034C2" w:rsidRPr="00D034C2" w:rsidRDefault="00D034C2" w:rsidP="008565CA">
      <w:pPr>
        <w:spacing w:after="0" w:line="240" w:lineRule="auto"/>
        <w:ind w:left="709" w:hanging="709"/>
        <w:jc w:val="both"/>
        <w:rPr>
          <w:rFonts w:ascii="Times New Roman" w:hAnsi="Times New Roman" w:cs="Times New Roman"/>
          <w:sz w:val="24"/>
          <w:szCs w:val="24"/>
          <w:lang w:val="en-GB"/>
        </w:rPr>
      </w:pPr>
      <w:r w:rsidRPr="00D034C2">
        <w:rPr>
          <w:rFonts w:ascii="Times New Roman" w:hAnsi="Times New Roman" w:cs="Times New Roman"/>
          <w:sz w:val="24"/>
          <w:szCs w:val="24"/>
          <w:lang w:val="en-GB"/>
        </w:rPr>
        <w:t xml:space="preserve">Milton, John. 1996. </w:t>
      </w:r>
      <w:r w:rsidRPr="00D034C2">
        <w:rPr>
          <w:rFonts w:ascii="Times New Roman" w:hAnsi="Times New Roman" w:cs="Times New Roman"/>
          <w:i/>
          <w:sz w:val="24"/>
          <w:szCs w:val="24"/>
          <w:lang w:val="en-GB"/>
        </w:rPr>
        <w:t>Paradise Lost</w:t>
      </w:r>
      <w:r w:rsidRPr="00D034C2">
        <w:rPr>
          <w:rFonts w:ascii="Times New Roman" w:hAnsi="Times New Roman" w:cs="Times New Roman"/>
          <w:sz w:val="24"/>
          <w:szCs w:val="24"/>
          <w:lang w:val="en-GB"/>
        </w:rPr>
        <w:t xml:space="preserve">. </w:t>
      </w:r>
      <w:proofErr w:type="spellStart"/>
      <w:r w:rsidRPr="00D034C2">
        <w:rPr>
          <w:rFonts w:ascii="Times New Roman" w:hAnsi="Times New Roman" w:cs="Times New Roman"/>
          <w:sz w:val="24"/>
          <w:szCs w:val="24"/>
          <w:lang w:val="en-GB"/>
        </w:rPr>
        <w:t>Londres</w:t>
      </w:r>
      <w:proofErr w:type="spellEnd"/>
      <w:r w:rsidRPr="00D034C2">
        <w:rPr>
          <w:rFonts w:ascii="Times New Roman" w:hAnsi="Times New Roman" w:cs="Times New Roman"/>
          <w:sz w:val="24"/>
          <w:szCs w:val="24"/>
          <w:lang w:val="en-GB"/>
        </w:rPr>
        <w:t>: Penguin.</w:t>
      </w:r>
    </w:p>
    <w:p w14:paraId="55ED7292" w14:textId="77777777" w:rsidR="00D034C2" w:rsidRPr="00D034C2" w:rsidRDefault="00D034C2" w:rsidP="008565CA">
      <w:pPr>
        <w:pStyle w:val="Sangradetextonormal"/>
        <w:spacing w:after="0"/>
        <w:ind w:left="709" w:hanging="709"/>
        <w:jc w:val="both"/>
      </w:pPr>
      <w:r w:rsidRPr="00D034C2">
        <w:rPr>
          <w:lang w:val="en-GB"/>
        </w:rPr>
        <w:t xml:space="preserve">Wilkins, Charles, trad. (1785) 1871. </w:t>
      </w:r>
      <w:r w:rsidRPr="00D034C2">
        <w:rPr>
          <w:i/>
          <w:lang w:val="en-GB"/>
        </w:rPr>
        <w:t>The</w:t>
      </w:r>
      <w:r w:rsidRPr="00D034C2">
        <w:rPr>
          <w:lang w:val="en-GB"/>
        </w:rPr>
        <w:t xml:space="preserve"> </w:t>
      </w:r>
      <w:proofErr w:type="spellStart"/>
      <w:r w:rsidRPr="00D034C2">
        <w:rPr>
          <w:lang w:val="en-GB"/>
        </w:rPr>
        <w:t>Bhagvat</w:t>
      </w:r>
      <w:proofErr w:type="spellEnd"/>
      <w:r w:rsidRPr="00D034C2">
        <w:rPr>
          <w:lang w:val="en-GB"/>
        </w:rPr>
        <w:t xml:space="preserve">-Geeta; </w:t>
      </w:r>
      <w:r w:rsidRPr="00D034C2">
        <w:rPr>
          <w:i/>
          <w:iCs/>
          <w:lang w:val="en-GB"/>
        </w:rPr>
        <w:t xml:space="preserve">or Dialogues of </w:t>
      </w:r>
      <w:proofErr w:type="spellStart"/>
      <w:r w:rsidRPr="00D034C2">
        <w:rPr>
          <w:i/>
          <w:iCs/>
          <w:lang w:val="en-GB"/>
        </w:rPr>
        <w:t>Kreeshna</w:t>
      </w:r>
      <w:proofErr w:type="spellEnd"/>
      <w:r w:rsidRPr="00D034C2">
        <w:rPr>
          <w:i/>
          <w:iCs/>
          <w:lang w:val="en-GB"/>
        </w:rPr>
        <w:t xml:space="preserve"> and </w:t>
      </w:r>
      <w:proofErr w:type="spellStart"/>
      <w:r w:rsidRPr="00D034C2">
        <w:rPr>
          <w:i/>
          <w:iCs/>
          <w:lang w:val="en-GB"/>
        </w:rPr>
        <w:t>Arjoon</w:t>
      </w:r>
      <w:proofErr w:type="spellEnd"/>
      <w:r w:rsidRPr="00D034C2">
        <w:rPr>
          <w:i/>
          <w:iCs/>
          <w:lang w:val="en-GB"/>
        </w:rPr>
        <w:t xml:space="preserve"> in Eighteen Lectures with Notes</w:t>
      </w:r>
      <w:r w:rsidRPr="00D034C2">
        <w:rPr>
          <w:lang w:val="en-GB"/>
        </w:rPr>
        <w:t xml:space="preserve">. </w:t>
      </w:r>
      <w:r w:rsidRPr="00D034C2">
        <w:t xml:space="preserve">Chicago: </w:t>
      </w:r>
      <w:proofErr w:type="spellStart"/>
      <w:r w:rsidRPr="00D034C2">
        <w:t>Religio-Philosophical</w:t>
      </w:r>
      <w:proofErr w:type="spellEnd"/>
      <w:r w:rsidRPr="00D034C2">
        <w:t xml:space="preserve"> Publishing House.</w:t>
      </w:r>
    </w:p>
    <w:p w14:paraId="2AB82550" w14:textId="77777777" w:rsidR="00FD0FDD" w:rsidRPr="00D034C2" w:rsidRDefault="00FD0FDD" w:rsidP="001A3204">
      <w:pPr>
        <w:spacing w:line="360" w:lineRule="auto"/>
        <w:rPr>
          <w:rFonts w:ascii="Times New Roman" w:hAnsi="Times New Roman" w:cs="Times New Roman"/>
          <w:sz w:val="24"/>
          <w:szCs w:val="24"/>
        </w:rPr>
      </w:pPr>
    </w:p>
    <w:sectPr w:rsidR="00FD0FDD" w:rsidRPr="00D034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7B"/>
    <w:rsid w:val="00012CEA"/>
    <w:rsid w:val="00060863"/>
    <w:rsid w:val="000C3F4A"/>
    <w:rsid w:val="001A3204"/>
    <w:rsid w:val="001B5D25"/>
    <w:rsid w:val="00203A2F"/>
    <w:rsid w:val="002C5161"/>
    <w:rsid w:val="002E07E0"/>
    <w:rsid w:val="00320FCD"/>
    <w:rsid w:val="004570B7"/>
    <w:rsid w:val="005A09C7"/>
    <w:rsid w:val="00826F40"/>
    <w:rsid w:val="0084502D"/>
    <w:rsid w:val="008565CA"/>
    <w:rsid w:val="00901919"/>
    <w:rsid w:val="00A66AE2"/>
    <w:rsid w:val="00B0057B"/>
    <w:rsid w:val="00BF202B"/>
    <w:rsid w:val="00D034C2"/>
    <w:rsid w:val="00D40471"/>
    <w:rsid w:val="00D67B58"/>
    <w:rsid w:val="00E71F20"/>
    <w:rsid w:val="00E9637A"/>
    <w:rsid w:val="00FD0FDD"/>
  </w:rsids>
  <m:mathPr>
    <m:mathFont m:val="Cambria Math"/>
    <m:brkBin m:val="before"/>
    <m:brkBinSub m:val="--"/>
    <m:smallFrac m:val="0"/>
    <m:dispDef/>
    <m:lMargin m:val="0"/>
    <m:rMargin m:val="0"/>
    <m:defJc m:val="centerGroup"/>
    <m:wrapIndent m:val="1440"/>
    <m:intLim m:val="subSup"/>
    <m:naryLim m:val="undOvr"/>
  </m:mathPr>
  <w:themeFontLang w:val="es-MX"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0BA2"/>
  <w15:chartTrackingRefBased/>
  <w15:docId w15:val="{915DB420-88B4-4C84-9B5A-23C4D5FD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826F40"/>
    <w:pPr>
      <w:keepNext/>
      <w:keepLines/>
      <w:spacing w:before="240" w:after="0" w:line="240" w:lineRule="auto"/>
      <w:outlineLvl w:val="0"/>
    </w:pPr>
    <w:rPr>
      <w:rFonts w:ascii="Times New Roman" w:eastAsiaTheme="majorEastAsia" w:hAnsi="Times New Roman" w:cstheme="majorBidi"/>
      <w:sz w:val="32"/>
      <w:szCs w:val="32"/>
      <w:lang w:val="es-ES_tradnl" w:eastAsia="es-ES"/>
    </w:rPr>
  </w:style>
  <w:style w:type="paragraph" w:styleId="Ttulo2">
    <w:name w:val="heading 2"/>
    <w:basedOn w:val="Normal"/>
    <w:next w:val="Normal"/>
    <w:link w:val="Ttulo2Car"/>
    <w:autoRedefine/>
    <w:unhideWhenUsed/>
    <w:qFormat/>
    <w:rsid w:val="001B5D25"/>
    <w:pPr>
      <w:keepNext/>
      <w:keepLines/>
      <w:spacing w:before="40" w:after="0" w:line="240" w:lineRule="auto"/>
      <w:outlineLvl w:val="1"/>
    </w:pPr>
    <w:rPr>
      <w:rFonts w:ascii="Bodoni MT Black" w:eastAsiaTheme="majorEastAsia" w:hAnsi="Bodoni MT Black" w:cstheme="majorBidi"/>
      <w:color w:val="2F5496" w:themeColor="accent1" w:themeShade="BF"/>
      <w:sz w:val="28"/>
      <w:szCs w:val="26"/>
      <w:lang w:val="es-ES" w:eastAsia="es-ES"/>
    </w:rPr>
  </w:style>
  <w:style w:type="paragraph" w:styleId="Ttulo3">
    <w:name w:val="heading 3"/>
    <w:basedOn w:val="Normal"/>
    <w:next w:val="Normal"/>
    <w:link w:val="Ttulo3Car"/>
    <w:autoRedefine/>
    <w:qFormat/>
    <w:rsid w:val="001B5D25"/>
    <w:pPr>
      <w:keepNext/>
      <w:spacing w:after="0" w:line="240" w:lineRule="auto"/>
      <w:jc w:val="center"/>
      <w:outlineLvl w:val="2"/>
    </w:pPr>
    <w:rPr>
      <w:rFonts w:ascii="Times New Roman" w:eastAsia="Times New Roman" w:hAnsi="Times New Roman" w:cs="Times New Roman"/>
      <w:smallCaps/>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6F40"/>
    <w:rPr>
      <w:rFonts w:ascii="Times New Roman" w:eastAsiaTheme="majorEastAsia" w:hAnsi="Times New Roman" w:cstheme="majorBidi"/>
      <w:sz w:val="32"/>
      <w:szCs w:val="32"/>
      <w:lang w:val="es-ES_tradnl" w:eastAsia="es-ES"/>
    </w:rPr>
  </w:style>
  <w:style w:type="paragraph" w:styleId="Subttulo">
    <w:name w:val="Subtitle"/>
    <w:basedOn w:val="Normal"/>
    <w:next w:val="Normal"/>
    <w:link w:val="SubttuloCar"/>
    <w:autoRedefine/>
    <w:qFormat/>
    <w:rsid w:val="00060863"/>
    <w:pPr>
      <w:spacing w:after="60" w:line="240" w:lineRule="auto"/>
      <w:jc w:val="center"/>
      <w:outlineLvl w:val="1"/>
    </w:pPr>
    <w:rPr>
      <w:rFonts w:ascii="Calibri Light" w:eastAsia="Times New Roman" w:hAnsi="Calibri Light" w:cs="Mangal"/>
      <w:sz w:val="24"/>
      <w:szCs w:val="24"/>
      <w:lang w:val="es-ES" w:eastAsia="es-ES"/>
    </w:rPr>
  </w:style>
  <w:style w:type="character" w:customStyle="1" w:styleId="SubttuloCar">
    <w:name w:val="Subtítulo Car"/>
    <w:link w:val="Subttulo"/>
    <w:rsid w:val="00060863"/>
    <w:rPr>
      <w:rFonts w:ascii="Calibri Light" w:eastAsia="Times New Roman" w:hAnsi="Calibri Light" w:cs="Mangal"/>
      <w:sz w:val="24"/>
      <w:szCs w:val="24"/>
      <w:lang w:val="es-ES" w:eastAsia="es-ES"/>
    </w:rPr>
  </w:style>
  <w:style w:type="paragraph" w:customStyle="1" w:styleId="Estilo1">
    <w:name w:val="Estilo1"/>
    <w:basedOn w:val="Subttulo"/>
    <w:link w:val="Estilo1Car"/>
    <w:autoRedefine/>
    <w:qFormat/>
    <w:rsid w:val="00060863"/>
    <w:pPr>
      <w:spacing w:after="0"/>
      <w:jc w:val="left"/>
      <w:outlineLvl w:val="9"/>
    </w:pPr>
    <w:rPr>
      <w:rFonts w:eastAsiaTheme="minorEastAsia" w:cstheme="minorBidi"/>
      <w:lang w:val="es-ES_tradnl"/>
    </w:rPr>
  </w:style>
  <w:style w:type="character" w:customStyle="1" w:styleId="Estilo1Car">
    <w:name w:val="Estilo1 Car"/>
    <w:basedOn w:val="SubttuloCar"/>
    <w:link w:val="Estilo1"/>
    <w:rsid w:val="00060863"/>
    <w:rPr>
      <w:rFonts w:ascii="Calibri Light" w:eastAsiaTheme="minorEastAsia" w:hAnsi="Calibri Light" w:cs="Mangal"/>
      <w:sz w:val="24"/>
      <w:szCs w:val="24"/>
      <w:lang w:val="es-ES_tradnl" w:eastAsia="es-ES"/>
    </w:rPr>
  </w:style>
  <w:style w:type="character" w:styleId="Ttulodellibro">
    <w:name w:val="Book Title"/>
    <w:basedOn w:val="Fuentedeprrafopredeter"/>
    <w:uiPriority w:val="69"/>
    <w:qFormat/>
    <w:rsid w:val="00060863"/>
    <w:rPr>
      <w:rFonts w:ascii="Bodoni MT Black" w:hAnsi="Bodoni MT Black"/>
      <w:b/>
      <w:bCs/>
      <w:i w:val="0"/>
      <w:iCs/>
      <w:spacing w:val="5"/>
      <w:sz w:val="36"/>
    </w:rPr>
  </w:style>
  <w:style w:type="character" w:customStyle="1" w:styleId="Ttulo3Car">
    <w:name w:val="Título 3 Car"/>
    <w:basedOn w:val="Fuentedeprrafopredeter"/>
    <w:link w:val="Ttulo3"/>
    <w:rsid w:val="001B5D25"/>
    <w:rPr>
      <w:rFonts w:ascii="Times New Roman" w:eastAsia="Times New Roman" w:hAnsi="Times New Roman" w:cs="Times New Roman"/>
      <w:smallCaps/>
      <w:szCs w:val="32"/>
      <w:lang w:eastAsia="es-ES"/>
    </w:rPr>
  </w:style>
  <w:style w:type="character" w:customStyle="1" w:styleId="Ttulo2Car">
    <w:name w:val="Título 2 Car"/>
    <w:basedOn w:val="Fuentedeprrafopredeter"/>
    <w:link w:val="Ttulo2"/>
    <w:rsid w:val="001B5D25"/>
    <w:rPr>
      <w:rFonts w:ascii="Bodoni MT Black" w:eastAsiaTheme="majorEastAsia" w:hAnsi="Bodoni MT Black" w:cstheme="majorBidi"/>
      <w:color w:val="2F5496" w:themeColor="accent1" w:themeShade="BF"/>
      <w:sz w:val="28"/>
      <w:szCs w:val="26"/>
      <w:lang w:val="es-ES" w:eastAsia="es-ES"/>
    </w:rPr>
  </w:style>
  <w:style w:type="paragraph" w:styleId="Textoindependiente">
    <w:name w:val="Body Text"/>
    <w:basedOn w:val="Normal"/>
    <w:link w:val="TextoindependienteCar"/>
    <w:rsid w:val="00BF202B"/>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F202B"/>
    <w:rPr>
      <w:rFonts w:ascii="Times New Roman" w:eastAsia="Times New Roman" w:hAnsi="Times New Roman" w:cs="Times New Roman"/>
      <w:sz w:val="24"/>
      <w:szCs w:val="24"/>
      <w:lang w:eastAsia="es-ES"/>
    </w:rPr>
  </w:style>
  <w:style w:type="paragraph" w:styleId="Textonotapie">
    <w:name w:val="footnote text"/>
    <w:basedOn w:val="Normal"/>
    <w:link w:val="TextonotapieCar"/>
    <w:semiHidden/>
    <w:rsid w:val="00E9637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E9637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D034C2"/>
    <w:rPr>
      <w:color w:val="0563C1" w:themeColor="hyperlink"/>
      <w:u w:val="single"/>
    </w:rPr>
  </w:style>
  <w:style w:type="paragraph" w:styleId="Sangradetextonormal">
    <w:name w:val="Body Text Indent"/>
    <w:basedOn w:val="Normal"/>
    <w:link w:val="SangradetextonormalCar"/>
    <w:rsid w:val="00D034C2"/>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D034C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l.libertyfund.org/titles/mill-the-history-of-british-india-6-vols-18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Adrián Muñoz García</dc:creator>
  <cp:keywords/>
  <dc:description/>
  <cp:lastModifiedBy>Cynthia Godoy Hernández</cp:lastModifiedBy>
  <cp:revision>13</cp:revision>
  <dcterms:created xsi:type="dcterms:W3CDTF">2024-09-04T15:47:00Z</dcterms:created>
  <dcterms:modified xsi:type="dcterms:W3CDTF">2025-10-14T16:03:00Z</dcterms:modified>
</cp:coreProperties>
</file>